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FF8" w:rsidRDefault="004E7FF8" w:rsidP="004E7FF8">
      <w:pPr>
        <w:jc w:val="both"/>
        <w:rPr>
          <w:rFonts w:cs="B Nazanin"/>
          <w:sz w:val="28"/>
          <w:szCs w:val="28"/>
          <w:rtl/>
          <w:lang w:bidi="fa-IR"/>
        </w:rPr>
      </w:pPr>
    </w:p>
    <w:p w:rsidR="004E7FF8" w:rsidRPr="004E7FF8" w:rsidRDefault="004E7FF8" w:rsidP="004E7FF8">
      <w:pPr>
        <w:jc w:val="both"/>
        <w:rPr>
          <w:rFonts w:cs="B Nazanin"/>
          <w:sz w:val="28"/>
          <w:szCs w:val="28"/>
          <w:rtl/>
          <w:lang w:bidi="fa-IR"/>
        </w:rPr>
      </w:pPr>
      <w:r w:rsidRPr="004E7FF8">
        <w:rPr>
          <w:rFonts w:cs="B Nazanin" w:hint="cs"/>
          <w:sz w:val="28"/>
          <w:szCs w:val="28"/>
          <w:rtl/>
          <w:lang w:bidi="fa-IR"/>
        </w:rPr>
        <w:t>جناب آقای/سرکار خانم..............................</w:t>
      </w:r>
    </w:p>
    <w:p w:rsidR="004E7FF8" w:rsidRPr="004E7FF8" w:rsidRDefault="004E7FF8" w:rsidP="004E7FF8">
      <w:pPr>
        <w:jc w:val="both"/>
        <w:rPr>
          <w:rFonts w:cs="B Nazanin"/>
          <w:sz w:val="28"/>
          <w:szCs w:val="28"/>
          <w:rtl/>
          <w:lang w:bidi="fa-IR"/>
        </w:rPr>
      </w:pPr>
      <w:r w:rsidRPr="004E7FF8">
        <w:rPr>
          <w:rFonts w:cs="B Nazanin" w:hint="cs"/>
          <w:sz w:val="28"/>
          <w:szCs w:val="28"/>
          <w:rtl/>
          <w:lang w:bidi="fa-IR"/>
        </w:rPr>
        <w:t>مسئول محترم .............................................</w:t>
      </w:r>
    </w:p>
    <w:p w:rsidR="004544C8" w:rsidRDefault="004E7FF8" w:rsidP="0055200C">
      <w:pPr>
        <w:jc w:val="both"/>
        <w:rPr>
          <w:rFonts w:cs="B Nazanin"/>
          <w:sz w:val="28"/>
          <w:szCs w:val="28"/>
          <w:rtl/>
          <w:lang w:bidi="fa-IR"/>
        </w:rPr>
      </w:pPr>
      <w:r w:rsidRPr="004E7FF8">
        <w:rPr>
          <w:rFonts w:cs="B Nazanin" w:hint="cs"/>
          <w:sz w:val="28"/>
          <w:szCs w:val="28"/>
          <w:rtl/>
          <w:lang w:bidi="fa-IR"/>
        </w:rPr>
        <w:t xml:space="preserve">نظر </w:t>
      </w:r>
      <w:r>
        <w:rPr>
          <w:rFonts w:cs="B Nazanin" w:hint="cs"/>
          <w:sz w:val="28"/>
          <w:szCs w:val="28"/>
          <w:rtl/>
          <w:lang w:bidi="fa-IR"/>
        </w:rPr>
        <w:t>به</w:t>
      </w:r>
      <w:r w:rsidRPr="004E7FF8">
        <w:rPr>
          <w:rFonts w:cs="B Nazanin" w:hint="cs"/>
          <w:sz w:val="28"/>
          <w:szCs w:val="28"/>
          <w:rtl/>
          <w:lang w:bidi="fa-IR"/>
        </w:rPr>
        <w:t xml:space="preserve"> اینکه واحد </w:t>
      </w:r>
      <w:r>
        <w:rPr>
          <w:rFonts w:cs="B Nazanin" w:hint="cs"/>
          <w:sz w:val="28"/>
          <w:szCs w:val="28"/>
          <w:rtl/>
          <w:lang w:bidi="fa-IR"/>
        </w:rPr>
        <w:t>تحت</w:t>
      </w:r>
      <w:r w:rsidRPr="004E7FF8">
        <w:rPr>
          <w:rFonts w:cs="B Nazanin" w:hint="cs"/>
          <w:sz w:val="28"/>
          <w:szCs w:val="28"/>
          <w:rtl/>
          <w:lang w:bidi="fa-IR"/>
        </w:rPr>
        <w:t xml:space="preserve"> تصدی </w:t>
      </w:r>
      <w:r>
        <w:rPr>
          <w:rFonts w:cs="B Nazanin" w:hint="cs"/>
          <w:sz w:val="28"/>
          <w:szCs w:val="28"/>
          <w:rtl/>
          <w:lang w:bidi="fa-IR"/>
        </w:rPr>
        <w:t xml:space="preserve">شما در خصوص جمع آوری و تحویل پسماند پزشکی تخلفات ذیل را انجام داده است و سیستم حمل پسماند مطب ها و مراکز درمانی را با مشکل روبرو کرده است. لذا متذکر میشود در صورت تکرار تخلف مشمول ماده 13 قانون مدیریت پسماند خواهید شد. ضمناً مراتب تخلف شما جهت پیگیری قضایی </w:t>
      </w:r>
      <w:r w:rsidR="0055200C"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 w:hint="cs"/>
          <w:sz w:val="28"/>
          <w:szCs w:val="28"/>
          <w:rtl/>
          <w:lang w:bidi="fa-IR"/>
        </w:rPr>
        <w:t xml:space="preserve"> تاریخ .................. صورت جلسه گردید.</w:t>
      </w:r>
    </w:p>
    <w:p w:rsidR="004E7FF8" w:rsidRDefault="004544C8" w:rsidP="004544C8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Microsoft Sans Serif" w:hAnsi="Microsoft Sans Serif" w:cs="Microsoft Sans Serif"/>
          <w:sz w:val="28"/>
          <w:szCs w:val="28"/>
          <w:rtl/>
          <w:lang w:bidi="fa-IR"/>
        </w:rPr>
        <w:t>⃣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4E7FF8" w:rsidRPr="004E7FF8">
        <w:rPr>
          <w:rFonts w:cs="B Nazanin" w:hint="cs"/>
          <w:sz w:val="28"/>
          <w:szCs w:val="28"/>
          <w:rtl/>
          <w:lang w:bidi="fa-IR"/>
        </w:rPr>
        <w:t xml:space="preserve">مخلوط نمودن </w:t>
      </w:r>
      <w:r w:rsidR="004E7FF8">
        <w:rPr>
          <w:rFonts w:cs="B Nazanin" w:hint="cs"/>
          <w:sz w:val="28"/>
          <w:szCs w:val="28"/>
          <w:rtl/>
          <w:lang w:bidi="fa-IR"/>
        </w:rPr>
        <w:t xml:space="preserve">پسماند پزشکی با پسماند غیر پزشکی </w:t>
      </w:r>
    </w:p>
    <w:p w:rsidR="004E7FF8" w:rsidRDefault="004E7FF8" w:rsidP="004E7FF8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Microsoft Sans Serif" w:hAnsi="Microsoft Sans Serif" w:cs="Microsoft Sans Serif"/>
          <w:sz w:val="28"/>
          <w:szCs w:val="28"/>
          <w:rtl/>
          <w:lang w:bidi="fa-IR"/>
        </w:rPr>
        <w:t>⃣</w:t>
      </w:r>
      <w:r>
        <w:rPr>
          <w:rFonts w:cs="B Nazanin" w:hint="cs"/>
          <w:sz w:val="28"/>
          <w:szCs w:val="28"/>
          <w:rtl/>
          <w:lang w:bidi="fa-IR"/>
        </w:rPr>
        <w:t xml:space="preserve">    عدم همکاری در خصوص ارائه پسماند پزشکی</w:t>
      </w:r>
    </w:p>
    <w:p w:rsidR="004E7FF8" w:rsidRDefault="004E7FF8" w:rsidP="004E7FF8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Microsoft Sans Serif" w:hAnsi="Microsoft Sans Serif" w:cs="Microsoft Sans Serif"/>
          <w:sz w:val="28"/>
          <w:szCs w:val="28"/>
          <w:rtl/>
          <w:lang w:bidi="fa-IR"/>
        </w:rPr>
        <w:t>⃣</w:t>
      </w:r>
      <w:r>
        <w:rPr>
          <w:rFonts w:cs="B Nazanin" w:hint="cs"/>
          <w:sz w:val="28"/>
          <w:szCs w:val="28"/>
          <w:rtl/>
          <w:lang w:bidi="fa-IR"/>
        </w:rPr>
        <w:t xml:space="preserve">    عدم دریافت و استفاده نکردن از کیسه های زرد رنگ مخصوص</w:t>
      </w:r>
    </w:p>
    <w:p w:rsidR="004E7FF8" w:rsidRDefault="004E7FF8" w:rsidP="004E7FF8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Microsoft Sans Serif" w:hAnsi="Microsoft Sans Serif" w:cs="Microsoft Sans Serif"/>
          <w:sz w:val="28"/>
          <w:szCs w:val="28"/>
          <w:rtl/>
          <w:lang w:bidi="fa-IR"/>
        </w:rPr>
        <w:t>⃣</w:t>
      </w:r>
      <w:r>
        <w:rPr>
          <w:rFonts w:cs="B Nazanin" w:hint="cs"/>
          <w:sz w:val="28"/>
          <w:szCs w:val="28"/>
          <w:rtl/>
          <w:lang w:bidi="fa-IR"/>
        </w:rPr>
        <w:t xml:space="preserve">    بیرون گذاردن پسماند خارج از زمان تعیین شده </w:t>
      </w:r>
    </w:p>
    <w:p w:rsidR="004E7FF8" w:rsidRDefault="004E7FF8" w:rsidP="004E7FF8">
      <w:pPr>
        <w:jc w:val="both"/>
        <w:rPr>
          <w:rFonts w:cs="B Nazanin"/>
          <w:sz w:val="28"/>
          <w:szCs w:val="28"/>
          <w:lang w:bidi="fa-IR"/>
        </w:rPr>
      </w:pPr>
      <w:r>
        <w:rPr>
          <w:rFonts w:ascii="Microsoft Sans Serif" w:hAnsi="Microsoft Sans Serif" w:cs="Microsoft Sans Serif"/>
          <w:sz w:val="28"/>
          <w:szCs w:val="28"/>
          <w:rtl/>
          <w:lang w:bidi="fa-IR"/>
        </w:rPr>
        <w:t>⃣</w:t>
      </w:r>
      <w:r>
        <w:rPr>
          <w:rFonts w:cs="B Nazanin" w:hint="cs"/>
          <w:sz w:val="28"/>
          <w:szCs w:val="28"/>
          <w:rtl/>
          <w:lang w:bidi="fa-IR"/>
        </w:rPr>
        <w:t xml:space="preserve">    عدم استفاده از جعبه های ایمنی </w:t>
      </w:r>
      <w:r>
        <w:rPr>
          <w:rFonts w:cs="B Nazanin"/>
          <w:sz w:val="28"/>
          <w:szCs w:val="28"/>
          <w:lang w:bidi="fa-IR"/>
        </w:rPr>
        <w:t>(safety box)</w:t>
      </w:r>
    </w:p>
    <w:p w:rsidR="004E7FF8" w:rsidRDefault="004E7FF8" w:rsidP="004E7FF8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Microsoft Sans Serif" w:hAnsi="Microsoft Sans Serif" w:cs="Microsoft Sans Serif"/>
          <w:sz w:val="28"/>
          <w:szCs w:val="28"/>
          <w:lang w:bidi="fa-IR"/>
        </w:rPr>
        <w:t>⃣</w:t>
      </w:r>
      <w:r>
        <w:rPr>
          <w:rFonts w:ascii="Microsoft Sans Serif" w:hAnsi="Microsoft Sans Serif" w:cs="Microsoft Sans Serif" w:hint="cs"/>
          <w:sz w:val="28"/>
          <w:szCs w:val="28"/>
          <w:rtl/>
          <w:lang w:bidi="fa-IR"/>
        </w:rPr>
        <w:t xml:space="preserve">    </w:t>
      </w:r>
      <w:r w:rsidRPr="004E7FF8">
        <w:rPr>
          <w:rFonts w:cs="B Nazanin" w:hint="cs"/>
          <w:sz w:val="28"/>
          <w:szCs w:val="28"/>
          <w:rtl/>
          <w:lang w:bidi="fa-IR"/>
        </w:rPr>
        <w:t xml:space="preserve">عدم استفاده از </w:t>
      </w:r>
      <w:r>
        <w:rPr>
          <w:rFonts w:cs="B Nazanin" w:hint="cs"/>
          <w:sz w:val="28"/>
          <w:szCs w:val="28"/>
          <w:rtl/>
          <w:lang w:bidi="fa-IR"/>
        </w:rPr>
        <w:t>مخزن زرد رنگ</w:t>
      </w:r>
    </w:p>
    <w:p w:rsidR="00D725E0" w:rsidRDefault="00D725E0" w:rsidP="004E7FF8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Microsoft Sans Serif" w:hAnsi="Microsoft Sans Serif" w:cs="Microsoft Sans Serif"/>
          <w:sz w:val="28"/>
          <w:szCs w:val="28"/>
          <w:rtl/>
          <w:lang w:bidi="fa-IR"/>
        </w:rPr>
        <w:t>⃣</w:t>
      </w:r>
      <w:r>
        <w:rPr>
          <w:rFonts w:cs="B Nazanin" w:hint="cs"/>
          <w:sz w:val="28"/>
          <w:szCs w:val="28"/>
          <w:rtl/>
          <w:lang w:bidi="fa-IR"/>
        </w:rPr>
        <w:t xml:space="preserve">    رها سازی پسماند عفونی در معابر عمومی</w:t>
      </w:r>
    </w:p>
    <w:p w:rsidR="004E7FF8" w:rsidRDefault="004E7FF8" w:rsidP="004E7FF8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تاریخ-امضاء</w:t>
      </w:r>
    </w:p>
    <w:p w:rsidR="004E7FF8" w:rsidRDefault="004E7FF8" w:rsidP="004E7FF8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="00D725E0">
        <w:rPr>
          <w:rFonts w:cs="B Nazanin" w:hint="cs"/>
          <w:sz w:val="28"/>
          <w:szCs w:val="28"/>
          <w:rtl/>
          <w:lang w:bidi="fa-IR"/>
        </w:rPr>
        <w:t xml:space="preserve">     ناظر</w:t>
      </w:r>
    </w:p>
    <w:p w:rsidR="004E7FF8" w:rsidRDefault="004E7FF8" w:rsidP="004E7FF8">
      <w:pPr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46"/>
      </w:tblGrid>
      <w:tr w:rsidR="004E7FF8" w:rsidTr="004E7FF8">
        <w:tc>
          <w:tcPr>
            <w:tcW w:w="9746" w:type="dxa"/>
          </w:tcPr>
          <w:p w:rsidR="004E7FF8" w:rsidRDefault="004E7FF8" w:rsidP="004E7FF8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ماده 13 قانون مدیریت پسماند:</w:t>
            </w:r>
          </w:p>
          <w:p w:rsidR="004E7FF8" w:rsidRDefault="004E7FF8" w:rsidP="004E7FF8">
            <w:pPr>
              <w:rPr>
                <w:rFonts w:ascii="Calibri" w:hAnsi="Calibri" w:cs="B Nazanin"/>
                <w:sz w:val="26"/>
                <w:szCs w:val="28"/>
                <w:rtl/>
                <w:lang w:bidi="fa-IR"/>
              </w:rPr>
            </w:pPr>
            <w:r w:rsidRPr="00AF35A5">
              <w:rPr>
                <w:rFonts w:ascii="Calibri" w:hAnsi="Calibri" w:cs="B Nazanin"/>
                <w:sz w:val="26"/>
                <w:szCs w:val="28"/>
                <w:rtl/>
                <w:lang w:bidi="fa-IR"/>
              </w:rPr>
              <w:t>مخلوط کردن پسماندهای پزشکی با سایر پسماندها و تخلیه و پخش‌آنها درمحیط و یا فروش، استفاده و بازیافت این نوع پسماندها ممنوع است</w:t>
            </w:r>
            <w:r w:rsidRPr="00AF35A5">
              <w:rPr>
                <w:rFonts w:ascii="Calibri" w:hAnsi="Calibri" w:cs="B Nazanin"/>
                <w:sz w:val="26"/>
                <w:szCs w:val="28"/>
                <w:lang w:bidi="fa-IR"/>
              </w:rPr>
              <w:t>.</w:t>
            </w:r>
            <w:r>
              <w:rPr>
                <w:rFonts w:ascii="Calibri" w:hAnsi="Calibri" w:cs="B Nazanin" w:hint="cs"/>
                <w:sz w:val="26"/>
                <w:szCs w:val="28"/>
                <w:rtl/>
                <w:lang w:bidi="fa-IR"/>
              </w:rPr>
              <w:t xml:space="preserve"> </w:t>
            </w:r>
          </w:p>
          <w:p w:rsidR="004E7FF8" w:rsidRDefault="004E7FF8" w:rsidP="004E7FF8">
            <w:pPr>
              <w:rPr>
                <w:rFonts w:ascii="Calibri" w:hAnsi="Calibri" w:cs="B Nazanin"/>
                <w:sz w:val="26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sz w:val="26"/>
                <w:szCs w:val="28"/>
                <w:rtl/>
                <w:lang w:bidi="fa-IR"/>
              </w:rPr>
              <w:t>متخلفین از حکم ماده 13 به جزاء نقدی از دو میلیون (2.000.000) ریال تا یکصد میلیون (100.000.000) ریال و در صورت تکرار به دو برابر حداکثر مجازات و در صورت تکرار مجدد هر بار به دو برابر مجازات بار قبل محکوم می شوند.</w:t>
            </w:r>
          </w:p>
          <w:p w:rsidR="004E7FF8" w:rsidRDefault="004E7FF8" w:rsidP="004E7FF8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4E7FF8" w:rsidRPr="004E7FF8" w:rsidRDefault="004E7FF8" w:rsidP="004E7FF8">
      <w:pPr>
        <w:jc w:val="both"/>
        <w:rPr>
          <w:rFonts w:cs="B Nazanin"/>
          <w:sz w:val="28"/>
          <w:szCs w:val="28"/>
          <w:rtl/>
          <w:lang w:bidi="fa-IR"/>
        </w:rPr>
      </w:pPr>
    </w:p>
    <w:p w:rsidR="004E7FF8" w:rsidRPr="004E7FF8" w:rsidRDefault="004E7FF8" w:rsidP="002539CC">
      <w:pPr>
        <w:ind w:left="5040" w:firstLine="720"/>
        <w:jc w:val="center"/>
        <w:rPr>
          <w:rFonts w:cs="B Nazanin"/>
          <w:sz w:val="28"/>
          <w:szCs w:val="28"/>
        </w:rPr>
      </w:pPr>
    </w:p>
    <w:p w:rsidR="004E7FF8" w:rsidRPr="004E7FF8" w:rsidRDefault="004E7FF8" w:rsidP="002539CC">
      <w:pPr>
        <w:ind w:left="5040" w:firstLine="720"/>
        <w:jc w:val="center"/>
        <w:rPr>
          <w:rFonts w:cs="B Nazanin"/>
          <w:sz w:val="28"/>
          <w:szCs w:val="28"/>
        </w:rPr>
      </w:pPr>
    </w:p>
    <w:p w:rsidR="004E7FF8" w:rsidRPr="004E7FF8" w:rsidRDefault="004E7FF8" w:rsidP="002539CC">
      <w:pPr>
        <w:ind w:left="5040" w:firstLine="720"/>
        <w:jc w:val="center"/>
        <w:rPr>
          <w:rFonts w:cs="B Nazanin"/>
          <w:sz w:val="28"/>
          <w:szCs w:val="28"/>
        </w:rPr>
      </w:pPr>
    </w:p>
    <w:p w:rsidR="004E7FF8" w:rsidRPr="004E7FF8" w:rsidRDefault="004E7FF8" w:rsidP="002539CC">
      <w:pPr>
        <w:ind w:left="5040" w:firstLine="720"/>
        <w:jc w:val="center"/>
        <w:rPr>
          <w:rFonts w:cs="B Nazanin"/>
          <w:sz w:val="28"/>
          <w:szCs w:val="28"/>
        </w:rPr>
      </w:pPr>
    </w:p>
    <w:sectPr w:rsidR="004E7FF8" w:rsidRPr="004E7FF8" w:rsidSect="004E7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16" w:bottom="1079" w:left="1134" w:header="720" w:footer="51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48" w:rsidRDefault="00D92F48" w:rsidP="00096117">
      <w:r>
        <w:separator/>
      </w:r>
    </w:p>
  </w:endnote>
  <w:endnote w:type="continuationSeparator" w:id="0">
    <w:p w:rsidR="00D92F48" w:rsidRDefault="00D92F48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1C" w:rsidRDefault="00601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D92F48">
          <w:pPr>
            <w:pStyle w:val="Footer"/>
            <w:rPr>
              <w:rtl/>
            </w:rPr>
          </w:pPr>
        </w:p>
      </w:tc>
    </w:tr>
  </w:tbl>
  <w:p w:rsidR="00E96A82" w:rsidRDefault="00D92F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1C" w:rsidRDefault="00601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48" w:rsidRDefault="00D92F48" w:rsidP="00096117">
      <w:r>
        <w:separator/>
      </w:r>
    </w:p>
  </w:footnote>
  <w:footnote w:type="continuationSeparator" w:id="0">
    <w:p w:rsidR="00D92F48" w:rsidRDefault="00D92F48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1C" w:rsidRDefault="00601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2539CC" w:rsidTr="00351FB1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2539CC" w:rsidRPr="0039370F" w:rsidRDefault="002539CC" w:rsidP="002539CC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324FA18B" wp14:editId="33F50EDD">
                <wp:extent cx="666750" cy="638175"/>
                <wp:effectExtent l="19050" t="0" r="0" b="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  <w:vAlign w:val="center"/>
        </w:tcPr>
        <w:p w:rsidR="002539CC" w:rsidRPr="008E085D" w:rsidRDefault="002539CC" w:rsidP="002539CC">
          <w:pPr>
            <w:pStyle w:val="Header"/>
            <w:jc w:val="center"/>
            <w:rPr>
              <w:rFonts w:cs="B Titr"/>
              <w:noProof/>
              <w:sz w:val="30"/>
              <w:szCs w:val="30"/>
            </w:rPr>
          </w:pPr>
          <w:r w:rsidRPr="008E085D">
            <w:rPr>
              <w:rFonts w:cs="B Titr"/>
              <w:noProof/>
              <w:sz w:val="30"/>
              <w:szCs w:val="30"/>
              <w:rtl/>
            </w:rPr>
            <w:t>ميزان جمع آوري پسماند ماهيانه منطقه</w:t>
          </w: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5408" behindDoc="0" locked="0" layoutInCell="1" allowOverlap="1" wp14:anchorId="5B48050E" wp14:editId="74F6E2F1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26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03" w:type="dxa"/>
          <w:shd w:val="clear" w:color="auto" w:fill="auto"/>
        </w:tcPr>
        <w:p w:rsidR="002539CC" w:rsidRPr="0039370F" w:rsidRDefault="002539CC" w:rsidP="002539CC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>
            <w:rPr>
              <w:rFonts w:cs="B Nazanin"/>
              <w:lang w:bidi="fa-IR"/>
            </w:rPr>
            <w:t>FW103</w:t>
          </w:r>
        </w:p>
      </w:tc>
    </w:tr>
    <w:tr w:rsidR="002539CC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2539CC" w:rsidRDefault="002539CC" w:rsidP="002539CC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2539CC" w:rsidRPr="00AF7046" w:rsidRDefault="002539CC" w:rsidP="002539CC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2539CC" w:rsidRPr="006F7072" w:rsidRDefault="002539CC" w:rsidP="002539CC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02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12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D92F48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D92F48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2539CC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2539CC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D92F48">
    <w:pPr>
      <w:pStyle w:val="Header"/>
      <w:rPr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2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096117" w:rsidTr="004E7FF8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366EB511" wp14:editId="50251182">
                <wp:extent cx="666750" cy="638175"/>
                <wp:effectExtent l="1905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  <w:vAlign w:val="center"/>
        </w:tcPr>
        <w:p w:rsidR="00096117" w:rsidRDefault="00096117" w:rsidP="008E085D">
          <w:pPr>
            <w:pStyle w:val="Header"/>
            <w:jc w:val="center"/>
            <w:rPr>
              <w:rFonts w:cs="B Titr"/>
              <w:noProof/>
              <w:sz w:val="30"/>
              <w:szCs w:val="30"/>
              <w:rtl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391D9B3E" wp14:editId="3FD96C65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2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E7FF8">
            <w:rPr>
              <w:rFonts w:cs="B Titr" w:hint="cs"/>
              <w:noProof/>
              <w:sz w:val="30"/>
              <w:szCs w:val="30"/>
              <w:rtl/>
            </w:rPr>
            <w:t>اخطاریه ماده 13</w:t>
          </w:r>
        </w:p>
        <w:p w:rsidR="004E7FF8" w:rsidRPr="008E085D" w:rsidRDefault="004E7FF8" w:rsidP="008E085D">
          <w:pPr>
            <w:pStyle w:val="Header"/>
            <w:jc w:val="center"/>
            <w:rPr>
              <w:rFonts w:cs="B Titr"/>
              <w:noProof/>
              <w:sz w:val="30"/>
              <w:szCs w:val="30"/>
            </w:rPr>
          </w:pPr>
          <w:r>
            <w:rPr>
              <w:rFonts w:cs="B Titr" w:hint="cs"/>
              <w:noProof/>
              <w:sz w:val="30"/>
              <w:szCs w:val="30"/>
              <w:rtl/>
            </w:rPr>
            <w:t>قانون مدیریت پسماند</w:t>
          </w:r>
        </w:p>
      </w:tc>
      <w:tc>
        <w:tcPr>
          <w:tcW w:w="3403" w:type="dxa"/>
          <w:shd w:val="clear" w:color="auto" w:fill="auto"/>
        </w:tcPr>
        <w:p w:rsidR="00096117" w:rsidRPr="0039370F" w:rsidRDefault="00096117" w:rsidP="004E7FF8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 w:rsidR="00A86560">
            <w:rPr>
              <w:rFonts w:cs="B Nazanin" w:hint="cs"/>
              <w:rtl/>
              <w:lang w:bidi="fa-IR"/>
            </w:rPr>
            <w:t xml:space="preserve">    </w:t>
          </w:r>
          <w:r w:rsidR="004E7FF8">
            <w:rPr>
              <w:rFonts w:cs="B Nazanin"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 w:rsidR="004E7FF8">
            <w:rPr>
              <w:rFonts w:cs="B Nazanin" w:hint="cs"/>
              <w:rtl/>
              <w:lang w:bidi="fa-IR"/>
            </w:rPr>
            <w:t xml:space="preserve">   </w:t>
          </w:r>
          <w:r w:rsidR="008E085D">
            <w:rPr>
              <w:rFonts w:cs="B Nazanin"/>
              <w:lang w:bidi="fa-IR"/>
            </w:rPr>
            <w:t>FW10</w:t>
          </w:r>
          <w:r w:rsidR="004E7FF8">
            <w:rPr>
              <w:rFonts w:cs="B Nazanin"/>
              <w:lang w:bidi="fa-IR"/>
            </w:rPr>
            <w:t>6</w:t>
          </w:r>
        </w:p>
      </w:tc>
    </w:tr>
    <w:tr w:rsidR="00096117" w:rsidTr="00947315">
      <w:trPr>
        <w:trHeight w:val="70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6F7072" w:rsidRDefault="00096117" w:rsidP="0060151C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 w:rsidR="00A86560">
            <w:rPr>
              <w:rFonts w:cs="B Nazanin" w:hint="cs"/>
              <w:b/>
              <w:bCs/>
              <w:sz w:val="22"/>
              <w:szCs w:val="22"/>
              <w:rtl/>
            </w:rPr>
            <w:t>:</w:t>
          </w:r>
          <w:r w:rsidR="004E7FF8"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60151C">
            <w:rPr>
              <w:rFonts w:cs="B Nazanin" w:hint="cs"/>
              <w:b/>
              <w:bCs/>
              <w:rtl/>
              <w:lang w:bidi="fa-IR"/>
            </w:rPr>
            <w:t>31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60151C">
            <w:rPr>
              <w:rFonts w:cs="B Nazanin" w:hint="cs"/>
              <w:b/>
              <w:bCs/>
              <w:rtl/>
              <w:lang w:bidi="fa-IR"/>
            </w:rPr>
            <w:t>01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60151C">
            <w:rPr>
              <w:rFonts w:cs="B Nazanin" w:hint="cs"/>
              <w:b/>
              <w:bCs/>
              <w:rtl/>
              <w:lang w:bidi="fa-IR"/>
            </w:rPr>
            <w:t>00</w:t>
          </w:r>
          <w:bookmarkStart w:id="0" w:name="_GoBack"/>
          <w:bookmarkEnd w:id="0"/>
        </w:p>
      </w:tc>
    </w:tr>
    <w:tr w:rsidR="00096117" w:rsidTr="004E7FF8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 w:rsidR="00A86560"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 w:rsidR="004E7FF8"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60151C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60151C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17"/>
    <w:rsid w:val="00062548"/>
    <w:rsid w:val="00096117"/>
    <w:rsid w:val="00133D1A"/>
    <w:rsid w:val="0015766D"/>
    <w:rsid w:val="001707CD"/>
    <w:rsid w:val="00186690"/>
    <w:rsid w:val="0019268D"/>
    <w:rsid w:val="002061B8"/>
    <w:rsid w:val="002539CC"/>
    <w:rsid w:val="002869BE"/>
    <w:rsid w:val="002B25B0"/>
    <w:rsid w:val="002E3034"/>
    <w:rsid w:val="00304AF8"/>
    <w:rsid w:val="003D6BBC"/>
    <w:rsid w:val="00402330"/>
    <w:rsid w:val="004544C8"/>
    <w:rsid w:val="004E5B9E"/>
    <w:rsid w:val="004E7FF8"/>
    <w:rsid w:val="004F078C"/>
    <w:rsid w:val="0055200C"/>
    <w:rsid w:val="005A3840"/>
    <w:rsid w:val="0060151C"/>
    <w:rsid w:val="00657E47"/>
    <w:rsid w:val="006D0B63"/>
    <w:rsid w:val="00710C3D"/>
    <w:rsid w:val="007158E0"/>
    <w:rsid w:val="008074A0"/>
    <w:rsid w:val="008B026A"/>
    <w:rsid w:val="008E085D"/>
    <w:rsid w:val="008E08DA"/>
    <w:rsid w:val="00947315"/>
    <w:rsid w:val="00973817"/>
    <w:rsid w:val="00984F70"/>
    <w:rsid w:val="00A32EB9"/>
    <w:rsid w:val="00A86560"/>
    <w:rsid w:val="00A93E32"/>
    <w:rsid w:val="00B62937"/>
    <w:rsid w:val="00C21AFE"/>
    <w:rsid w:val="00C819A4"/>
    <w:rsid w:val="00C8681D"/>
    <w:rsid w:val="00CE47F4"/>
    <w:rsid w:val="00D21A4F"/>
    <w:rsid w:val="00D26DFB"/>
    <w:rsid w:val="00D725E0"/>
    <w:rsid w:val="00D92F48"/>
    <w:rsid w:val="00EA7B3F"/>
    <w:rsid w:val="00F9561E"/>
    <w:rsid w:val="00FA37DD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1DB5E"/>
  <w15:chartTrackingRefBased/>
  <w15:docId w15:val="{DBE5D709-6F2F-4AED-B826-7C8653C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8B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8E4DD-7BE3-4380-B085-6D36878E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2020-06-13T16:20:00Z</dcterms:created>
  <dcterms:modified xsi:type="dcterms:W3CDTF">2021-04-20T09:15:00Z</dcterms:modified>
</cp:coreProperties>
</file>